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body>
    <w:p w14:paraId="763DBAA9" w14:textId="0E0D0403" w:rsidP="00DC2737" w:rsidR="00910AC7" w:rsidRDefault="00DC2737" w:rsidRPr="00910AC7">
      <w:pPr>
        <w:tabs>
          <w:tab w:leader="hyphen" w:pos="7938" w:val="right"/>
        </w:tabs>
        <w:spacing w:line="276" w:lineRule="auto"/>
        <w:jc w:val="center"/>
        <w:rPr>
          <w:rFonts w:eastAsia="微軟正黑體" w:hint="eastAsia"/>
          <w:b/>
          <w:bCs/>
          <w:color w:themeColor="text1" w:val="000000"/>
          <w:sz w:val="36"/>
          <w:szCs w:val="36"/>
        </w:rPr>
      </w:pPr>
      <w:r w:rsidRPr="00DC2737">
        <w:rPr>
          <w:rFonts w:eastAsia="微軟正黑體"/>
          <w:b/>
          <w:bCs/>
          <w:color w:themeColor="text1" w:val="000000"/>
          <w:sz w:val="36"/>
          <w:szCs w:val="36"/>
        </w:rPr>
        <w:t>Data Correction in the 202</w:t>
      </w:r>
      <w:r w:rsidR="007533BF">
        <w:rPr>
          <w:rFonts w:eastAsia="微軟正黑體" w:hint="eastAsia"/>
          <w:b/>
          <w:bCs/>
          <w:color w:themeColor="text1" w:val="000000"/>
          <w:sz w:val="36"/>
          <w:szCs w:val="36"/>
        </w:rPr>
        <w:t>4</w:t>
      </w:r>
      <w:r w:rsidRPr="00DC2737">
        <w:rPr>
          <w:rFonts w:eastAsia="微軟正黑體"/>
          <w:b/>
          <w:bCs/>
          <w:color w:themeColor="text1" w:val="000000"/>
          <w:sz w:val="36"/>
          <w:szCs w:val="36"/>
        </w:rPr>
        <w:t xml:space="preserve"> Edition</w:t>
      </w:r>
    </w:p>
    <w:p w14:paraId="3643DC6B" w14:textId="77777777" w:rsidP="00910AC7" w:rsidR="002D7389" w:rsidRDefault="002D7389">
      <w:pPr>
        <w:tabs>
          <w:tab w:leader="hyphen" w:pos="7938" w:val="right"/>
        </w:tabs>
        <w:spacing w:line="276" w:lineRule="auto"/>
        <w:jc w:val="both"/>
        <w:rPr>
          <w:rFonts w:eastAsia="微軟正黑體"/>
          <w:color w:themeColor="text1" w:val="000000"/>
          <w:sz w:val="24"/>
          <w:szCs w:val="24"/>
        </w:rPr>
      </w:pPr>
    </w:p>
    <w:p w14:paraId="392EEE5D" w14:textId="71864C63" w:rsidP="00910AC7" w:rsidR="00910AC7" w:rsidRDefault="00910AC7" w:rsidRPr="00910AC7">
      <w:pPr>
        <w:tabs>
          <w:tab w:leader="hyphen" w:pos="7938" w:val="right"/>
        </w:tabs>
        <w:spacing w:line="276" w:lineRule="auto"/>
        <w:jc w:val="both"/>
        <w:rPr>
          <w:rFonts w:eastAsia="微軟正黑體"/>
          <w:color w:themeColor="text1" w:val="000000"/>
          <w:sz w:val="24"/>
          <w:szCs w:val="24"/>
        </w:rPr>
      </w:pPr>
      <w:r w:rsidRPr="00910AC7">
        <w:rPr>
          <w:rFonts w:eastAsia="微軟正黑體"/>
          <w:color w:themeColor="text1" w:val="000000"/>
          <w:sz w:val="24"/>
          <w:szCs w:val="24"/>
        </w:rPr>
        <w:t>To improve energy statistics</w:t>
      </w:r>
      <w:r w:rsidR="00432A2B">
        <w:rPr>
          <w:rFonts w:eastAsia="微軟正黑體" w:hint="eastAsia"/>
          <w:color w:themeColor="text1" w:val="000000"/>
          <w:sz w:val="24"/>
          <w:szCs w:val="24"/>
        </w:rPr>
        <w:t xml:space="preserve"> </w:t>
      </w:r>
      <w:r w:rsidR="00432A2B" w:rsidRPr="00432A2B">
        <w:rPr>
          <w:rFonts w:eastAsia="微軟正黑體"/>
          <w:color w:themeColor="text1" w:val="000000"/>
          <w:sz w:val="24"/>
          <w:szCs w:val="24"/>
        </w:rPr>
        <w:t>methodology</w:t>
      </w:r>
      <w:r w:rsidR="007032EA">
        <w:rPr>
          <w:rFonts w:eastAsia="微軟正黑體" w:hint="eastAsia"/>
          <w:color w:themeColor="text1" w:val="000000"/>
          <w:sz w:val="24"/>
          <w:szCs w:val="24"/>
        </w:rPr>
        <w:t xml:space="preserve">, </w:t>
      </w:r>
      <w:r w:rsidR="007032EA" w:rsidRPr="007032EA">
        <w:rPr>
          <w:rFonts w:eastAsia="微軟正黑體"/>
          <w:color w:themeColor="text1" w:val="000000"/>
          <w:sz w:val="24"/>
          <w:szCs w:val="24"/>
        </w:rPr>
        <w:t>the implementation of the revised “Net Calorific Value of Energy Products Table” effective from 2024</w:t>
      </w:r>
      <w:r w:rsidR="00432A2B">
        <w:rPr>
          <w:rFonts w:eastAsia="微軟正黑體" w:hint="eastAsia"/>
          <w:color w:themeColor="text1" w:val="000000"/>
          <w:sz w:val="24"/>
          <w:szCs w:val="24"/>
        </w:rPr>
        <w:t xml:space="preserve">, </w:t>
      </w:r>
      <w:r w:rsidRPr="00910AC7">
        <w:rPr>
          <w:rFonts w:eastAsia="微軟正黑體"/>
          <w:color w:themeColor="text1" w:val="000000"/>
          <w:sz w:val="24"/>
          <w:szCs w:val="24"/>
        </w:rPr>
        <w:t>and accommodate revisions in historical data reported by energy suppliers and users, relevant statistical data have been revised as follows:</w:t>
      </w:r>
    </w:p>
    <w:p w14:paraId="41394660" w14:textId="3CC3A6D9" w:rsidP="008C0B3A" w:rsidR="008C0B3A" w:rsidRDefault="008C0B3A">
      <w:pPr>
        <w:tabs>
          <w:tab w:leader="hyphen" w:pos="7938" w:val="right"/>
        </w:tabs>
        <w:spacing w:line="276" w:lineRule="auto"/>
        <w:jc w:val="both"/>
        <w:rPr>
          <w:rFonts w:eastAsia="微軟正黑體"/>
          <w:color w:themeColor="text1" w:val="000000"/>
          <w:sz w:val="24"/>
          <w:szCs w:val="24"/>
        </w:rPr>
      </w:pPr>
    </w:p>
    <w:p w14:paraId="00F1985F" w14:textId="77777777" w:rsidP="007032EA" w:rsidR="007032EA" w:rsidRDefault="007032EA" w:rsidRPr="007032EA">
      <w:pPr>
        <w:pStyle w:val="aa"/>
        <w:numPr>
          <w:ilvl w:val="0"/>
          <w:numId w:val="1"/>
        </w:numPr>
        <w:tabs>
          <w:tab w:leader="hyphen" w:pos="7938" w:val="right"/>
        </w:tabs>
        <w:spacing w:line="276" w:lineRule="auto"/>
        <w:ind w:hanging="284" w:left="284" w:leftChars="0"/>
        <w:jc w:val="both"/>
        <w:rPr>
          <w:rFonts w:eastAsia="微軟正黑體"/>
          <w:color w:themeColor="text1" w:val="000000"/>
          <w:sz w:val="24"/>
          <w:szCs w:val="24"/>
        </w:rPr>
      </w:pPr>
      <w:r w:rsidRPr="007032EA">
        <w:rPr>
          <w:rFonts w:eastAsia="微軟正黑體"/>
          <w:color w:themeColor="text1" w:val="000000"/>
          <w:sz w:val="24"/>
          <w:szCs w:val="24"/>
        </w:rPr>
        <w:t xml:space="preserve">Revision of the “Net Calorific Value of Energy Products Table”: Based on the findings from the 2023 survey, calorific values for various energy products have been revised and are applicable for statistics from 2024 to 2028. In line with international practices, </w:t>
      </w:r>
      <w:r w:rsidRPr="007032EA">
        <w:rPr>
          <w:rFonts w:eastAsia="微軟正黑體" w:hint="eastAsia"/>
          <w:color w:themeColor="text1" w:val="000000"/>
          <w:sz w:val="24"/>
          <w:szCs w:val="24"/>
        </w:rPr>
        <w:t>over</w:t>
      </w:r>
      <w:r w:rsidRPr="007032EA">
        <w:rPr>
          <w:rFonts w:eastAsia="微軟正黑體"/>
          <w:color w:themeColor="text1" w:val="000000"/>
          <w:sz w:val="24"/>
          <w:szCs w:val="24"/>
        </w:rPr>
        <w:t>all energy statistics are now presented in “tonne of oil equivalent</w:t>
      </w:r>
      <w:r w:rsidRPr="007032EA">
        <w:rPr>
          <w:rFonts w:eastAsia="微軟正黑體" w:hint="eastAsia"/>
          <w:color w:themeColor="text1" w:val="000000"/>
          <w:sz w:val="24"/>
          <w:szCs w:val="24"/>
        </w:rPr>
        <w:t xml:space="preserve"> </w:t>
      </w:r>
      <w:r w:rsidRPr="007032EA">
        <w:rPr>
          <w:rFonts w:eastAsia="微軟正黑體"/>
          <w:color w:themeColor="text1" w:val="000000"/>
          <w:sz w:val="24"/>
          <w:szCs w:val="24"/>
        </w:rPr>
        <w:t>(toe)”.</w:t>
      </w:r>
    </w:p>
    <w:p w14:paraId="4F6F22BE" w14:textId="77777777" w:rsidP="007032EA" w:rsidR="007032EA" w:rsidRDefault="007032EA" w:rsidRPr="007032EA">
      <w:pPr>
        <w:pStyle w:val="aa"/>
        <w:numPr>
          <w:ilvl w:val="0"/>
          <w:numId w:val="1"/>
        </w:numPr>
        <w:tabs>
          <w:tab w:leader="hyphen" w:pos="7938" w:val="right"/>
        </w:tabs>
        <w:spacing w:line="276" w:lineRule="auto"/>
        <w:ind w:hanging="284" w:left="284" w:leftChars="0"/>
        <w:jc w:val="both"/>
        <w:rPr>
          <w:rFonts w:eastAsia="微軟正黑體"/>
          <w:color w:themeColor="text1" w:val="000000"/>
          <w:sz w:val="24"/>
          <w:szCs w:val="24"/>
        </w:rPr>
      </w:pPr>
      <w:r w:rsidRPr="007032EA">
        <w:rPr>
          <w:rFonts w:eastAsia="微軟正黑體"/>
          <w:color w:themeColor="text1" w:val="000000"/>
          <w:sz w:val="24"/>
          <w:szCs w:val="24"/>
        </w:rPr>
        <w:t>Adjustments to Energy Supply and Demand Data</w:t>
      </w:r>
    </w:p>
    <w:p w14:paraId="7594AFA2" w14:textId="77777777" w:rsidP="007032EA" w:rsidR="007032EA" w:rsidRDefault="007032EA" w:rsidRPr="007032EA">
      <w:pPr>
        <w:pStyle w:val="ab"/>
        <w:numPr>
          <w:ilvl w:val="0"/>
          <w:numId w:val="5"/>
        </w:numPr>
        <w:spacing w:after="180" w:afterLines="50" w:line="276" w:lineRule="auto"/>
        <w:jc w:val="both"/>
        <w:rPr>
          <w:rFonts w:ascii="Times New Roman" w:eastAsia="微軟正黑體" w:hAnsi="Times New Roman"/>
          <w:szCs w:val="24"/>
        </w:rPr>
      </w:pPr>
      <w:r w:rsidRPr="007032EA">
        <w:rPr>
          <w:rFonts w:ascii="Times New Roman" w:eastAsia="微軟正黑體" w:hAnsi="Times New Roman"/>
          <w:szCs w:val="24"/>
        </w:rPr>
        <w:t>Coal: Updated the 2023 input volumes for autoproducer cogeneration plants based on revised data submitted by operators of auto producers.</w:t>
      </w:r>
    </w:p>
    <w:p w14:paraId="6422D2A2" w14:textId="77777777" w:rsidP="007032EA" w:rsidR="007032EA" w:rsidRDefault="007032EA" w:rsidRPr="007032EA">
      <w:pPr>
        <w:pStyle w:val="ab"/>
        <w:numPr>
          <w:ilvl w:val="0"/>
          <w:numId w:val="5"/>
        </w:numPr>
        <w:spacing w:after="180" w:afterLines="50" w:line="276" w:lineRule="auto"/>
        <w:jc w:val="both"/>
        <w:rPr>
          <w:rFonts w:ascii="Times New Roman" w:eastAsia="微軟正黑體" w:hAnsi="Times New Roman"/>
          <w:szCs w:val="24"/>
        </w:rPr>
      </w:pPr>
      <w:r w:rsidRPr="007032EA">
        <w:rPr>
          <w:rFonts w:ascii="Times New Roman" w:eastAsia="微軟正黑體" w:hAnsi="Times New Roman"/>
          <w:szCs w:val="24"/>
        </w:rPr>
        <w:t>Oil</w:t>
      </w:r>
    </w:p>
    <w:p w14:paraId="26F78990" w14:textId="77777777" w:rsidP="007032EA" w:rsidR="007032EA" w:rsidRDefault="007032EA" w:rsidRPr="007032EA">
      <w:pPr>
        <w:pStyle w:val="ab"/>
        <w:numPr>
          <w:ilvl w:val="2"/>
          <w:numId w:val="6"/>
        </w:numPr>
        <w:spacing w:after="180" w:afterLines="50" w:line="276" w:lineRule="auto"/>
        <w:ind w:hanging="142" w:hangingChars="59" w:left="992" w:leftChars="472"/>
        <w:jc w:val="both"/>
        <w:rPr>
          <w:rFonts w:ascii="Times New Roman" w:eastAsia="微軟正黑體" w:hAnsi="Times New Roman"/>
          <w:szCs w:val="24"/>
        </w:rPr>
      </w:pPr>
      <w:r w:rsidRPr="007032EA">
        <w:rPr>
          <w:rFonts w:ascii="Times New Roman" w:eastAsia="微軟正黑體" w:hAnsi="Times New Roman"/>
          <w:szCs w:val="24"/>
        </w:rPr>
        <w:t>In accordance with the annual data corrections from the Customs Administration, adjustments were made to monthly import/export quantities of certain petroleum products for 2023.</w:t>
      </w:r>
    </w:p>
    <w:p w14:paraId="016524B2" w14:textId="77777777" w:rsidP="007032EA" w:rsidR="007032EA" w:rsidRDefault="007032EA" w:rsidRPr="007032EA">
      <w:pPr>
        <w:pStyle w:val="ab"/>
        <w:numPr>
          <w:ilvl w:val="2"/>
          <w:numId w:val="6"/>
        </w:numPr>
        <w:spacing w:after="180" w:afterLines="50" w:line="276" w:lineRule="auto"/>
        <w:ind w:hanging="142" w:hangingChars="59" w:left="992" w:leftChars="472"/>
        <w:jc w:val="both"/>
        <w:rPr>
          <w:rFonts w:ascii="Times New Roman" w:eastAsia="微軟正黑體" w:hAnsi="Times New Roman"/>
          <w:szCs w:val="24"/>
        </w:rPr>
      </w:pPr>
      <w:r w:rsidRPr="007032EA">
        <w:rPr>
          <w:rFonts w:ascii="Times New Roman" w:eastAsia="微軟正黑體" w:hAnsi="Times New Roman"/>
          <w:szCs w:val="24"/>
        </w:rPr>
        <w:t>Based on revised reports from oil companies, the consumption data of LPG by industry from January 2018 to January 2024 has been revised.</w:t>
      </w:r>
    </w:p>
    <w:p w14:paraId="203D69CD" w14:textId="77777777" w:rsidP="007032EA" w:rsidR="007032EA" w:rsidRDefault="007032EA" w:rsidRPr="007032EA">
      <w:pPr>
        <w:pStyle w:val="ab"/>
        <w:numPr>
          <w:ilvl w:val="2"/>
          <w:numId w:val="6"/>
        </w:numPr>
        <w:spacing w:after="180" w:afterLines="50" w:line="276" w:lineRule="auto"/>
        <w:ind w:hanging="142" w:hangingChars="59" w:left="992" w:leftChars="472"/>
        <w:jc w:val="both"/>
        <w:rPr>
          <w:rFonts w:ascii="Times New Roman" w:eastAsia="微軟正黑體" w:hAnsi="Times New Roman"/>
          <w:szCs w:val="24"/>
        </w:rPr>
      </w:pPr>
      <w:r w:rsidRPr="007032EA">
        <w:rPr>
          <w:rFonts w:ascii="Times New Roman" w:eastAsia="微軟正黑體" w:hAnsi="Times New Roman"/>
          <w:szCs w:val="24"/>
        </w:rPr>
        <w:t>Revisions from renewable oil producers led to revised in the 2023 and 2024 data for indigenous production and transformation input of “refinery feedstock”, the transformation output of “fuel oil”, as well as sales data by industry for energy and industrial sectors.</w:t>
      </w:r>
    </w:p>
    <w:p w14:paraId="6F10AC98" w14:textId="77777777" w:rsidP="007032EA" w:rsidR="007032EA" w:rsidRDefault="007032EA" w:rsidRPr="007032EA">
      <w:pPr>
        <w:pStyle w:val="ab"/>
        <w:numPr>
          <w:ilvl w:val="0"/>
          <w:numId w:val="5"/>
        </w:numPr>
        <w:spacing w:after="180" w:afterLines="50" w:line="276" w:lineRule="auto"/>
        <w:jc w:val="both"/>
        <w:rPr>
          <w:rFonts w:ascii="Times New Roman" w:eastAsia="微軟正黑體" w:hAnsi="Times New Roman"/>
          <w:szCs w:val="24"/>
        </w:rPr>
      </w:pPr>
      <w:r w:rsidRPr="007032EA">
        <w:rPr>
          <w:rFonts w:ascii="Times New Roman" w:eastAsia="微軟正黑體" w:hAnsi="Times New Roman"/>
          <w:szCs w:val="24"/>
        </w:rPr>
        <w:t xml:space="preserve">Natural Gas: Sales data by industry for natural gas from 2018 to present has been revised based on revised reports from natural gas companies. </w:t>
      </w:r>
    </w:p>
    <w:p w14:paraId="6DBA47BA" w14:textId="77777777" w:rsidP="007032EA" w:rsidR="007032EA" w:rsidRDefault="007032EA" w:rsidRPr="007032EA">
      <w:pPr>
        <w:pStyle w:val="ab"/>
        <w:numPr>
          <w:ilvl w:val="0"/>
          <w:numId w:val="5"/>
        </w:numPr>
        <w:spacing w:after="180" w:afterLines="50" w:line="276" w:lineRule="auto"/>
        <w:jc w:val="both"/>
        <w:rPr>
          <w:rFonts w:ascii="Times New Roman" w:eastAsia="微軟正黑體" w:hAnsi="Times New Roman"/>
          <w:szCs w:val="24"/>
        </w:rPr>
      </w:pPr>
      <w:r w:rsidRPr="007032EA">
        <w:rPr>
          <w:rFonts w:ascii="Times New Roman" w:eastAsia="微軟正黑體" w:hAnsi="Times New Roman"/>
          <w:szCs w:val="24"/>
        </w:rPr>
        <w:t xml:space="preserve">Electricity </w:t>
      </w:r>
    </w:p>
    <w:p w14:paraId="1E5EA096" w14:textId="77777777" w:rsidP="007032EA" w:rsidR="007032EA" w:rsidRDefault="007032EA" w:rsidRPr="007032EA">
      <w:pPr>
        <w:pStyle w:val="ab"/>
        <w:numPr>
          <w:ilvl w:val="0"/>
          <w:numId w:val="7"/>
        </w:numPr>
        <w:spacing w:after="180" w:afterLines="50" w:line="276" w:lineRule="auto"/>
        <w:ind w:hanging="144" w:hangingChars="60" w:left="992" w:leftChars="471"/>
        <w:jc w:val="both"/>
        <w:rPr>
          <w:rFonts w:ascii="Times New Roman" w:eastAsia="微軟正黑體" w:hAnsi="Times New Roman"/>
          <w:szCs w:val="24"/>
        </w:rPr>
      </w:pPr>
      <w:r w:rsidRPr="007032EA">
        <w:rPr>
          <w:rFonts w:ascii="Times New Roman" w:eastAsia="微軟正黑體" w:hAnsi="Times New Roman"/>
          <w:szCs w:val="24"/>
        </w:rPr>
        <w:t xml:space="preserve">Backdated data for grid-connected trial operation: The electricity generation data reported by newly added renewable electricity generating enterprises in </w:t>
      </w:r>
      <w:r w:rsidRPr="007032EA">
        <w:rPr>
          <w:rFonts w:ascii="Times New Roman" w:eastAsia="微軟正黑體" w:hAnsi="Times New Roman"/>
          <w:szCs w:val="24"/>
        </w:rPr>
        <w:lastRenderedPageBreak/>
        <w:t>2024 has led to retroactive adjustments to hydro, wind, and solar PV for 2022 to 2024.</w:t>
      </w:r>
    </w:p>
    <w:p w14:paraId="2F435144" w14:textId="77777777" w:rsidP="007032EA" w:rsidR="007032EA" w:rsidRDefault="007032EA" w:rsidRPr="007032EA">
      <w:pPr>
        <w:pStyle w:val="ab"/>
        <w:numPr>
          <w:ilvl w:val="0"/>
          <w:numId w:val="7"/>
        </w:numPr>
        <w:spacing w:after="180" w:afterLines="50" w:line="276" w:lineRule="auto"/>
        <w:ind w:hanging="144" w:hangingChars="60" w:left="992" w:leftChars="471"/>
        <w:jc w:val="both"/>
        <w:rPr>
          <w:rFonts w:ascii="Times New Roman" w:eastAsia="微軟正黑體" w:hAnsi="Times New Roman"/>
          <w:szCs w:val="24"/>
        </w:rPr>
      </w:pPr>
      <w:r w:rsidRPr="007032EA">
        <w:rPr>
          <w:rFonts w:ascii="Times New Roman" w:eastAsia="微軟正黑體" w:hAnsi="Times New Roman"/>
          <w:szCs w:val="24"/>
        </w:rPr>
        <w:t xml:space="preserve">Backdated biogas electricity data: Based on data from electricity retailing utility enterprise regarding self-use biogas electricity equipment purchases, adjustments were made to the 2024 biogas statistics. </w:t>
      </w:r>
    </w:p>
    <w:p w14:paraId="44916F13" w14:textId="77777777" w:rsidP="007032EA" w:rsidR="007032EA" w:rsidRDefault="007032EA" w:rsidRPr="007032EA">
      <w:pPr>
        <w:pStyle w:val="ab"/>
        <w:numPr>
          <w:ilvl w:val="0"/>
          <w:numId w:val="7"/>
        </w:numPr>
        <w:spacing w:after="180" w:afterLines="50" w:line="276" w:lineRule="auto"/>
        <w:ind w:hanging="144" w:hangingChars="60" w:left="992" w:leftChars="471"/>
        <w:jc w:val="both"/>
        <w:rPr>
          <w:rFonts w:ascii="Times New Roman" w:eastAsia="微軟正黑體" w:hAnsi="Times New Roman"/>
          <w:szCs w:val="24"/>
        </w:rPr>
      </w:pPr>
      <w:r w:rsidRPr="007032EA">
        <w:rPr>
          <w:rFonts w:ascii="Times New Roman" w:eastAsia="微軟正黑體" w:hAnsi="Times New Roman"/>
          <w:szCs w:val="24"/>
        </w:rPr>
        <w:t>In coordination with self-use electricity generation equipment enterprises, adjustments have been made to fuel consumption, electricity generation, and process steam production. Accordingly, data related to energy consumption, transformation input, and the supply and demand of electricity and heat from June 2023 to present have been revised.</w:t>
      </w:r>
    </w:p>
    <w:p w14:paraId="3CC76A5E" w14:textId="77777777" w:rsidP="00910AC7" w:rsidR="00264D17" w:rsidRDefault="00264D17" w:rsidRPr="00B74B39">
      <w:pPr>
        <w:tabs>
          <w:tab w:leader="hyphen" w:pos="7938" w:val="right"/>
        </w:tabs>
        <w:spacing w:line="276" w:lineRule="auto"/>
        <w:jc w:val="both"/>
        <w:rPr>
          <w:rFonts w:eastAsia="微軟正黑體"/>
          <w:color w:themeColor="text1" w:val="000000"/>
          <w:sz w:val="24"/>
          <w:szCs w:val="24"/>
        </w:rPr>
      </w:pPr>
    </w:p>
    <w:p w14:paraId="6930DD48" w14:textId="1AC4EEBB" w:rsidP="00910AC7" w:rsidR="000861BF" w:rsidRDefault="000861BF">
      <w:pPr>
        <w:tabs>
          <w:tab w:leader="hyphen" w:pos="7938" w:val="right"/>
        </w:tabs>
        <w:spacing w:line="276" w:lineRule="auto"/>
        <w:jc w:val="both"/>
        <w:rPr>
          <w:rFonts w:eastAsia="微軟正黑體"/>
          <w:color w:themeColor="text1" w:val="000000"/>
          <w:sz w:val="24"/>
          <w:szCs w:val="24"/>
        </w:rPr>
      </w:pPr>
      <w:r w:rsidRPr="000861BF">
        <w:rPr>
          <w:rFonts w:eastAsia="微軟正黑體"/>
          <w:color w:themeColor="text1" w:val="000000"/>
          <w:sz w:val="24"/>
          <w:szCs w:val="24"/>
        </w:rPr>
        <w:t>Based on data from energy suppliers for the previous year, revisions may be gradually completed by the end of May of the current year. Therefore, the annual data published from January to April are preliminary estimates. Starting in May, the data are finalized in accordance with the latest revisions. For details on the revision items carried out prior to finalization, please refer to the “Annual Energy Report (Energy Balance) - Data Correction for the Current Year.”</w:t>
      </w:r>
    </w:p>
    <w:p w14:paraId="1534F7AB" w14:textId="77777777" w:rsidP="00910AC7" w:rsidR="000861BF" w:rsidRDefault="000861BF">
      <w:pPr>
        <w:tabs>
          <w:tab w:leader="hyphen" w:pos="7938" w:val="right"/>
        </w:tabs>
        <w:spacing w:line="276" w:lineRule="auto"/>
        <w:jc w:val="both"/>
        <w:rPr>
          <w:rFonts w:eastAsia="微軟正黑體"/>
          <w:color w:themeColor="text1" w:val="000000"/>
          <w:sz w:val="24"/>
          <w:szCs w:val="24"/>
        </w:rPr>
      </w:pPr>
    </w:p>
    <w:p w14:paraId="39981631" w14:textId="77777777" w:rsidP="00910AC7" w:rsidR="000861BF" w:rsidRDefault="000861BF">
      <w:pPr>
        <w:tabs>
          <w:tab w:leader="hyphen" w:pos="7938" w:val="right"/>
        </w:tabs>
        <w:spacing w:line="276" w:lineRule="auto"/>
        <w:jc w:val="both"/>
        <w:rPr>
          <w:rFonts w:eastAsia="微軟正黑體"/>
          <w:color w:themeColor="text1" w:val="000000"/>
          <w:sz w:val="24"/>
          <w:szCs w:val="24"/>
        </w:rPr>
      </w:pPr>
    </w:p>
    <w:p w14:paraId="056A42D1" w14:textId="77777777" w:rsidP="00910AC7" w:rsidR="000861BF" w:rsidRDefault="000861BF" w:rsidRPr="000861BF">
      <w:pPr>
        <w:tabs>
          <w:tab w:leader="hyphen" w:pos="7938" w:val="right"/>
        </w:tabs>
        <w:spacing w:line="276" w:lineRule="auto"/>
        <w:jc w:val="both"/>
        <w:rPr>
          <w:rFonts w:eastAsia="微軟正黑體"/>
          <w:color w:themeColor="text1" w:val="000000"/>
          <w:sz w:val="24"/>
          <w:szCs w:val="24"/>
        </w:rPr>
      </w:pPr>
    </w:p>
    <w:sectPr w:rsidR="000861BF" w:rsidRPr="000861BF">
      <w:footerReference r:id="rId7" w:type="default"/>
      <w:pgSz w:h="16838" w:w="11906"/>
      <w:pgMar w:bottom="1440" w:footer="992" w:gutter="0" w:header="851" w:left="1800" w:right="1800" w:top="1440"/>
      <w:cols w:space="425"/>
      <w:docGrid w:linePitch="360"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25BA5" w14:textId="77777777" w:rsidR="009D520F" w:rsidRDefault="009D520F" w:rsidP="007F468D">
      <w:r>
        <w:separator/>
      </w:r>
    </w:p>
  </w:endnote>
  <w:endnote w:type="continuationSeparator" w:id="0">
    <w:p w14:paraId="5CBB08BD" w14:textId="77777777" w:rsidR="009D520F" w:rsidRDefault="009D520F" w:rsidP="007F4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sdt>
    <w:sdtPr>
      <w:id w:val="-1354486129"/>
      <w:docPartObj>
        <w:docPartGallery w:val="Page Numbers (Bottom of Page)"/>
        <w:docPartUnique/>
      </w:docPartObj>
    </w:sdtPr>
    <w:sdtContent>
      <w:p w14:paraId="1011313B" w14:textId="320334BD" w:rsidR="00840A15" w:rsidRDefault="00840A15">
        <w:pPr>
          <w:pStyle w:val="a8"/>
          <w:jc w:val="center"/>
        </w:pPr>
        <w:r>
          <w:fldChar w:fldCharType="begin"/>
        </w:r>
        <w:r>
          <w:instrText>PAGE   \* MERGEFORMAT</w:instrText>
        </w:r>
        <w:r>
          <w:fldChar w:fldCharType="separate"/>
        </w:r>
        <w:r>
          <w:rPr>
            <w:lang w:val="zh-TW"/>
          </w:rPr>
          <w:t>2</w:t>
        </w:r>
        <w:r>
          <w:fldChar w:fldCharType="end"/>
        </w:r>
      </w:p>
    </w:sdtContent>
  </w:sdt>
  <w:p w14:paraId="761A4EEE" w14:textId="77777777" w:rsidR="00840A15" w:rsidRDefault="00840A15">
    <w:pPr>
      <w:pStyle w:val="a8"/>
    </w:pPr>
  </w:p>
</w:ftr>
</file>

<file path=word/footnotes.xml><?xml version="1.0" encoding="utf-8"?>
<w:footnote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footnote w:id="-1" w:type="separator">
    <w:p w14:paraId="5990D1C5" w14:textId="77777777" w:rsidP="007F468D" w:rsidR="009D520F" w:rsidRDefault="009D520F">
      <w:r>
        <w:separator/>
      </w:r>
    </w:p>
  </w:footnote>
  <w:footnote w:id="0" w:type="continuationSeparator">
    <w:p w14:paraId="6ED5AC60" w14:textId="77777777" w:rsidP="007F468D" w:rsidR="009D520F" w:rsidRDefault="009D520F">
      <w:r>
        <w:continuation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FBB2751"/>
    <w:multiLevelType w:val="hybridMultilevel"/>
    <w:tmpl w:val="696A6C98"/>
    <w:lvl w:ilvl="0" w:tplc="93FEFB6E">
      <w:start w:val="1"/>
      <w:numFmt w:val="decimal"/>
      <w:lvlText w:val="(%1)"/>
      <w:lvlJc w:val="left"/>
      <w:pPr>
        <w:ind w:hanging="480" w:left="960"/>
      </w:pPr>
      <w:rPr>
        <w:rFonts w:hint="eastAsia"/>
      </w:rPr>
    </w:lvl>
    <w:lvl w:ilvl="1" w:tentative="1" w:tplc="04090019">
      <w:start w:val="1"/>
      <w:numFmt w:val="ideographTraditional"/>
      <w:lvlText w:val="%2、"/>
      <w:lvlJc w:val="left"/>
      <w:pPr>
        <w:ind w:hanging="480" w:left="1440"/>
      </w:pPr>
    </w:lvl>
    <w:lvl w:ilvl="2" w:tentative="1" w:tplc="0409001B">
      <w:start w:val="1"/>
      <w:numFmt w:val="lowerRoman"/>
      <w:lvlText w:val="%3."/>
      <w:lvlJc w:val="right"/>
      <w:pPr>
        <w:ind w:hanging="480" w:left="1920"/>
      </w:pPr>
    </w:lvl>
    <w:lvl w:ilvl="3" w:tentative="1" w:tplc="0409000F">
      <w:start w:val="1"/>
      <w:numFmt w:val="decimal"/>
      <w:lvlText w:val="%4."/>
      <w:lvlJc w:val="left"/>
      <w:pPr>
        <w:ind w:hanging="480" w:left="2400"/>
      </w:pPr>
    </w:lvl>
    <w:lvl w:ilvl="4" w:tentative="1" w:tplc="04090019">
      <w:start w:val="1"/>
      <w:numFmt w:val="ideographTraditional"/>
      <w:lvlText w:val="%5、"/>
      <w:lvlJc w:val="left"/>
      <w:pPr>
        <w:ind w:hanging="480" w:left="2880"/>
      </w:pPr>
    </w:lvl>
    <w:lvl w:ilvl="5" w:tentative="1" w:tplc="0409001B">
      <w:start w:val="1"/>
      <w:numFmt w:val="lowerRoman"/>
      <w:lvlText w:val="%6."/>
      <w:lvlJc w:val="right"/>
      <w:pPr>
        <w:ind w:hanging="480" w:left="3360"/>
      </w:pPr>
    </w:lvl>
    <w:lvl w:ilvl="6" w:tentative="1" w:tplc="0409000F">
      <w:start w:val="1"/>
      <w:numFmt w:val="decimal"/>
      <w:lvlText w:val="%7."/>
      <w:lvlJc w:val="left"/>
      <w:pPr>
        <w:ind w:hanging="480" w:left="3840"/>
      </w:pPr>
    </w:lvl>
    <w:lvl w:ilvl="7" w:tentative="1" w:tplc="04090019">
      <w:start w:val="1"/>
      <w:numFmt w:val="ideographTraditional"/>
      <w:lvlText w:val="%8、"/>
      <w:lvlJc w:val="left"/>
      <w:pPr>
        <w:ind w:hanging="480" w:left="4320"/>
      </w:pPr>
    </w:lvl>
    <w:lvl w:ilvl="8" w:tentative="1" w:tplc="0409001B">
      <w:start w:val="1"/>
      <w:numFmt w:val="lowerRoman"/>
      <w:lvlText w:val="%9."/>
      <w:lvlJc w:val="right"/>
      <w:pPr>
        <w:ind w:hanging="480" w:left="4800"/>
      </w:pPr>
    </w:lvl>
  </w:abstractNum>
  <w:abstractNum w15:restartNumberingAfterBreak="0" w:abstractNumId="1">
    <w:nsid w:val="30D34E20"/>
    <w:multiLevelType w:val="hybridMultilevel"/>
    <w:tmpl w:val="B4D4D970"/>
    <w:lvl w:ilvl="0" w:tplc="964C4CE0">
      <w:start w:val="1"/>
      <w:numFmt w:val="decimal"/>
      <w:lvlText w:val="(%1)"/>
      <w:lvlJc w:val="left"/>
      <w:pPr>
        <w:ind w:hanging="480" w:left="764"/>
      </w:pPr>
      <w:rPr>
        <w:rFonts w:hint="eastAsia"/>
      </w:rPr>
    </w:lvl>
    <w:lvl w:ilvl="1" w:tentative="1" w:tplc="04090019">
      <w:start w:val="1"/>
      <w:numFmt w:val="ideographTraditional"/>
      <w:lvlText w:val="%2、"/>
      <w:lvlJc w:val="left"/>
      <w:pPr>
        <w:ind w:hanging="480" w:left="1244"/>
      </w:pPr>
    </w:lvl>
    <w:lvl w:ilvl="2" w:tentative="1" w:tplc="0409001B">
      <w:start w:val="1"/>
      <w:numFmt w:val="lowerRoman"/>
      <w:lvlText w:val="%3."/>
      <w:lvlJc w:val="right"/>
      <w:pPr>
        <w:ind w:hanging="480" w:left="1724"/>
      </w:pPr>
    </w:lvl>
    <w:lvl w:ilvl="3" w:tentative="1" w:tplc="0409000F">
      <w:start w:val="1"/>
      <w:numFmt w:val="decimal"/>
      <w:lvlText w:val="%4."/>
      <w:lvlJc w:val="left"/>
      <w:pPr>
        <w:ind w:hanging="480" w:left="2204"/>
      </w:pPr>
    </w:lvl>
    <w:lvl w:ilvl="4" w:tentative="1" w:tplc="04090019">
      <w:start w:val="1"/>
      <w:numFmt w:val="ideographTraditional"/>
      <w:lvlText w:val="%5、"/>
      <w:lvlJc w:val="left"/>
      <w:pPr>
        <w:ind w:hanging="480" w:left="2684"/>
      </w:pPr>
    </w:lvl>
    <w:lvl w:ilvl="5" w:tentative="1" w:tplc="0409001B">
      <w:start w:val="1"/>
      <w:numFmt w:val="lowerRoman"/>
      <w:lvlText w:val="%6."/>
      <w:lvlJc w:val="right"/>
      <w:pPr>
        <w:ind w:hanging="480" w:left="3164"/>
      </w:pPr>
    </w:lvl>
    <w:lvl w:ilvl="6" w:tentative="1" w:tplc="0409000F">
      <w:start w:val="1"/>
      <w:numFmt w:val="decimal"/>
      <w:lvlText w:val="%7."/>
      <w:lvlJc w:val="left"/>
      <w:pPr>
        <w:ind w:hanging="480" w:left="3644"/>
      </w:pPr>
    </w:lvl>
    <w:lvl w:ilvl="7" w:tentative="1" w:tplc="04090019">
      <w:start w:val="1"/>
      <w:numFmt w:val="ideographTraditional"/>
      <w:lvlText w:val="%8、"/>
      <w:lvlJc w:val="left"/>
      <w:pPr>
        <w:ind w:hanging="480" w:left="4124"/>
      </w:pPr>
    </w:lvl>
    <w:lvl w:ilvl="8" w:tentative="1" w:tplc="0409001B">
      <w:start w:val="1"/>
      <w:numFmt w:val="lowerRoman"/>
      <w:lvlText w:val="%9."/>
      <w:lvlJc w:val="right"/>
      <w:pPr>
        <w:ind w:hanging="480" w:left="4604"/>
      </w:pPr>
    </w:lvl>
  </w:abstractNum>
  <w:abstractNum w15:restartNumberingAfterBreak="0" w:abstractNumId="2">
    <w:nsid w:val="3F3D40C5"/>
    <w:multiLevelType w:val="hybridMultilevel"/>
    <w:tmpl w:val="EA520664"/>
    <w:lvl w:ilvl="0" w:tplc="0409000F">
      <w:start w:val="1"/>
      <w:numFmt w:val="decimal"/>
      <w:lvlText w:val="%1."/>
      <w:lvlJc w:val="left"/>
      <w:pPr>
        <w:ind w:hanging="480" w:left="480"/>
      </w:pPr>
    </w:lvl>
    <w:lvl w:ilvl="1" w:tentative="1" w:tplc="04090019">
      <w:start w:val="1"/>
      <w:numFmt w:val="ideographTraditional"/>
      <w:lvlText w:val="%2、"/>
      <w:lvlJc w:val="left"/>
      <w:pPr>
        <w:ind w:hanging="480" w:left="960"/>
      </w:pPr>
    </w:lvl>
    <w:lvl w:ilvl="2" w:tentative="1" w:tplc="0409001B">
      <w:start w:val="1"/>
      <w:numFmt w:val="lowerRoman"/>
      <w:lvlText w:val="%3."/>
      <w:lvlJc w:val="right"/>
      <w:pPr>
        <w:ind w:hanging="480" w:left="1440"/>
      </w:pPr>
    </w:lvl>
    <w:lvl w:ilvl="3" w:tentative="1" w:tplc="0409000F">
      <w:start w:val="1"/>
      <w:numFmt w:val="decimal"/>
      <w:lvlText w:val="%4."/>
      <w:lvlJc w:val="left"/>
      <w:pPr>
        <w:ind w:hanging="480" w:left="1920"/>
      </w:pPr>
    </w:lvl>
    <w:lvl w:ilvl="4" w:tentative="1" w:tplc="04090019">
      <w:start w:val="1"/>
      <w:numFmt w:val="ideographTraditional"/>
      <w:lvlText w:val="%5、"/>
      <w:lvlJc w:val="left"/>
      <w:pPr>
        <w:ind w:hanging="480" w:left="2400"/>
      </w:pPr>
    </w:lvl>
    <w:lvl w:ilvl="5" w:tentative="1" w:tplc="0409001B">
      <w:start w:val="1"/>
      <w:numFmt w:val="lowerRoman"/>
      <w:lvlText w:val="%6."/>
      <w:lvlJc w:val="right"/>
      <w:pPr>
        <w:ind w:hanging="480" w:left="2880"/>
      </w:pPr>
    </w:lvl>
    <w:lvl w:ilvl="6" w:tentative="1" w:tplc="0409000F">
      <w:start w:val="1"/>
      <w:numFmt w:val="decimal"/>
      <w:lvlText w:val="%7."/>
      <w:lvlJc w:val="left"/>
      <w:pPr>
        <w:ind w:hanging="480" w:left="3360"/>
      </w:pPr>
    </w:lvl>
    <w:lvl w:ilvl="7" w:tentative="1" w:tplc="04090019">
      <w:start w:val="1"/>
      <w:numFmt w:val="ideographTraditional"/>
      <w:lvlText w:val="%8、"/>
      <w:lvlJc w:val="left"/>
      <w:pPr>
        <w:ind w:hanging="480" w:left="3840"/>
      </w:pPr>
    </w:lvl>
    <w:lvl w:ilvl="8" w:tentative="1" w:tplc="0409001B">
      <w:start w:val="1"/>
      <w:numFmt w:val="lowerRoman"/>
      <w:lvlText w:val="%9."/>
      <w:lvlJc w:val="right"/>
      <w:pPr>
        <w:ind w:hanging="480" w:left="4320"/>
      </w:pPr>
    </w:lvl>
  </w:abstractNum>
  <w:abstractNum w15:restartNumberingAfterBreak="0" w:abstractNumId="3">
    <w:nsid w:val="469635B7"/>
    <w:multiLevelType w:val="hybridMultilevel"/>
    <w:tmpl w:val="B4D4D970"/>
    <w:lvl w:ilvl="0" w:tplc="FFFFFFFF">
      <w:start w:val="1"/>
      <w:numFmt w:val="decimal"/>
      <w:lvlText w:val="(%1)"/>
      <w:lvlJc w:val="left"/>
      <w:pPr>
        <w:ind w:hanging="480" w:left="764"/>
      </w:pPr>
      <w:rPr>
        <w:rFonts w:hint="eastAsia"/>
      </w:rPr>
    </w:lvl>
    <w:lvl w:ilvl="1" w:tentative="1" w:tplc="FFFFFFFF">
      <w:start w:val="1"/>
      <w:numFmt w:val="ideographTraditional"/>
      <w:lvlText w:val="%2、"/>
      <w:lvlJc w:val="left"/>
      <w:pPr>
        <w:ind w:hanging="480" w:left="1244"/>
      </w:pPr>
    </w:lvl>
    <w:lvl w:ilvl="2" w:tentative="1" w:tplc="FFFFFFFF">
      <w:start w:val="1"/>
      <w:numFmt w:val="lowerRoman"/>
      <w:lvlText w:val="%3."/>
      <w:lvlJc w:val="right"/>
      <w:pPr>
        <w:ind w:hanging="480" w:left="1724"/>
      </w:pPr>
    </w:lvl>
    <w:lvl w:ilvl="3" w:tentative="1" w:tplc="FFFFFFFF">
      <w:start w:val="1"/>
      <w:numFmt w:val="decimal"/>
      <w:lvlText w:val="%4."/>
      <w:lvlJc w:val="left"/>
      <w:pPr>
        <w:ind w:hanging="480" w:left="2204"/>
      </w:pPr>
    </w:lvl>
    <w:lvl w:ilvl="4" w:tentative="1" w:tplc="FFFFFFFF">
      <w:start w:val="1"/>
      <w:numFmt w:val="ideographTraditional"/>
      <w:lvlText w:val="%5、"/>
      <w:lvlJc w:val="left"/>
      <w:pPr>
        <w:ind w:hanging="480" w:left="2684"/>
      </w:pPr>
    </w:lvl>
    <w:lvl w:ilvl="5" w:tentative="1" w:tplc="FFFFFFFF">
      <w:start w:val="1"/>
      <w:numFmt w:val="lowerRoman"/>
      <w:lvlText w:val="%6."/>
      <w:lvlJc w:val="right"/>
      <w:pPr>
        <w:ind w:hanging="480" w:left="3164"/>
      </w:pPr>
    </w:lvl>
    <w:lvl w:ilvl="6" w:tentative="1" w:tplc="FFFFFFFF">
      <w:start w:val="1"/>
      <w:numFmt w:val="decimal"/>
      <w:lvlText w:val="%7."/>
      <w:lvlJc w:val="left"/>
      <w:pPr>
        <w:ind w:hanging="480" w:left="3644"/>
      </w:pPr>
    </w:lvl>
    <w:lvl w:ilvl="7" w:tentative="1" w:tplc="FFFFFFFF">
      <w:start w:val="1"/>
      <w:numFmt w:val="ideographTraditional"/>
      <w:lvlText w:val="%8、"/>
      <w:lvlJc w:val="left"/>
      <w:pPr>
        <w:ind w:hanging="480" w:left="4124"/>
      </w:pPr>
    </w:lvl>
    <w:lvl w:ilvl="8" w:tentative="1" w:tplc="FFFFFFFF">
      <w:start w:val="1"/>
      <w:numFmt w:val="lowerRoman"/>
      <w:lvlText w:val="%9."/>
      <w:lvlJc w:val="right"/>
      <w:pPr>
        <w:ind w:hanging="480" w:left="4604"/>
      </w:pPr>
    </w:lvl>
  </w:abstractNum>
  <w:abstractNum w15:restartNumberingAfterBreak="0" w:abstractNumId="4">
    <w:nsid w:val="5A5418FE"/>
    <w:multiLevelType w:val="hybridMultilevel"/>
    <w:tmpl w:val="C2F6F1A0"/>
    <w:lvl w:ilvl="0" w:tplc="0409001B">
      <w:start w:val="1"/>
      <w:numFmt w:val="lowerRoman"/>
      <w:lvlText w:val="%1."/>
      <w:lvlJc w:val="right"/>
      <w:pPr>
        <w:ind w:hanging="480" w:left="1440"/>
      </w:pPr>
    </w:lvl>
    <w:lvl w:ilvl="1" w:tentative="1" w:tplc="04090019">
      <w:start w:val="1"/>
      <w:numFmt w:val="ideographTraditional"/>
      <w:lvlText w:val="%2、"/>
      <w:lvlJc w:val="left"/>
      <w:pPr>
        <w:ind w:hanging="480" w:left="1920"/>
      </w:pPr>
    </w:lvl>
    <w:lvl w:ilvl="2" w:tplc="0409001B">
      <w:start w:val="1"/>
      <w:numFmt w:val="lowerRoman"/>
      <w:lvlText w:val="%3."/>
      <w:lvlJc w:val="right"/>
      <w:pPr>
        <w:ind w:hanging="480" w:left="2400"/>
      </w:pPr>
    </w:lvl>
    <w:lvl w:ilvl="3" w:tentative="1" w:tplc="0409000F">
      <w:start w:val="1"/>
      <w:numFmt w:val="decimal"/>
      <w:lvlText w:val="%4."/>
      <w:lvlJc w:val="left"/>
      <w:pPr>
        <w:ind w:hanging="480" w:left="2880"/>
      </w:pPr>
    </w:lvl>
    <w:lvl w:ilvl="4" w:tentative="1" w:tplc="04090019">
      <w:start w:val="1"/>
      <w:numFmt w:val="ideographTraditional"/>
      <w:lvlText w:val="%5、"/>
      <w:lvlJc w:val="left"/>
      <w:pPr>
        <w:ind w:hanging="480" w:left="3360"/>
      </w:pPr>
    </w:lvl>
    <w:lvl w:ilvl="5" w:tentative="1" w:tplc="0409001B">
      <w:start w:val="1"/>
      <w:numFmt w:val="lowerRoman"/>
      <w:lvlText w:val="%6."/>
      <w:lvlJc w:val="right"/>
      <w:pPr>
        <w:ind w:hanging="480" w:left="3840"/>
      </w:pPr>
    </w:lvl>
    <w:lvl w:ilvl="6" w:tentative="1" w:tplc="0409000F">
      <w:start w:val="1"/>
      <w:numFmt w:val="decimal"/>
      <w:lvlText w:val="%7."/>
      <w:lvlJc w:val="left"/>
      <w:pPr>
        <w:ind w:hanging="480" w:left="4320"/>
      </w:pPr>
    </w:lvl>
    <w:lvl w:ilvl="7" w:tentative="1" w:tplc="04090019">
      <w:start w:val="1"/>
      <w:numFmt w:val="ideographTraditional"/>
      <w:lvlText w:val="%8、"/>
      <w:lvlJc w:val="left"/>
      <w:pPr>
        <w:ind w:hanging="480" w:left="4800"/>
      </w:pPr>
    </w:lvl>
    <w:lvl w:ilvl="8" w:tentative="1" w:tplc="0409001B">
      <w:start w:val="1"/>
      <w:numFmt w:val="lowerRoman"/>
      <w:lvlText w:val="%9."/>
      <w:lvlJc w:val="right"/>
      <w:pPr>
        <w:ind w:hanging="480" w:left="5280"/>
      </w:pPr>
    </w:lvl>
  </w:abstractNum>
  <w:abstractNum w15:restartNumberingAfterBreak="0" w:abstractNumId="5">
    <w:nsid w:val="6BB37692"/>
    <w:multiLevelType w:val="hybridMultilevel"/>
    <w:tmpl w:val="167E594A"/>
    <w:lvl w:ilvl="0" w:tplc="FFFFFFFF">
      <w:start w:val="1"/>
      <w:numFmt w:val="lowerRoman"/>
      <w:lvlText w:val="%1."/>
      <w:lvlJc w:val="right"/>
      <w:pPr>
        <w:ind w:hanging="480" w:left="1440"/>
      </w:pPr>
    </w:lvl>
    <w:lvl w:ilvl="1" w:tentative="1" w:tplc="FFFFFFFF">
      <w:start w:val="1"/>
      <w:numFmt w:val="ideographTraditional"/>
      <w:lvlText w:val="%2、"/>
      <w:lvlJc w:val="left"/>
      <w:pPr>
        <w:ind w:hanging="480" w:left="1920"/>
      </w:pPr>
    </w:lvl>
    <w:lvl w:ilvl="2" w:tentative="1" w:tplc="FFFFFFFF">
      <w:start w:val="1"/>
      <w:numFmt w:val="lowerRoman"/>
      <w:lvlText w:val="%3."/>
      <w:lvlJc w:val="right"/>
      <w:pPr>
        <w:ind w:hanging="480" w:left="2400"/>
      </w:pPr>
    </w:lvl>
    <w:lvl w:ilvl="3" w:tentative="1" w:tplc="FFFFFFFF">
      <w:start w:val="1"/>
      <w:numFmt w:val="decimal"/>
      <w:lvlText w:val="%4."/>
      <w:lvlJc w:val="left"/>
      <w:pPr>
        <w:ind w:hanging="480" w:left="2880"/>
      </w:pPr>
    </w:lvl>
    <w:lvl w:ilvl="4" w:tentative="1" w:tplc="FFFFFFFF">
      <w:start w:val="1"/>
      <w:numFmt w:val="ideographTraditional"/>
      <w:lvlText w:val="%5、"/>
      <w:lvlJc w:val="left"/>
      <w:pPr>
        <w:ind w:hanging="480" w:left="3360"/>
      </w:pPr>
    </w:lvl>
    <w:lvl w:ilvl="5" w:tentative="1" w:tplc="FFFFFFFF">
      <w:start w:val="1"/>
      <w:numFmt w:val="lowerRoman"/>
      <w:lvlText w:val="%6."/>
      <w:lvlJc w:val="right"/>
      <w:pPr>
        <w:ind w:hanging="480" w:left="3840"/>
      </w:pPr>
    </w:lvl>
    <w:lvl w:ilvl="6" w:tentative="1" w:tplc="FFFFFFFF">
      <w:start w:val="1"/>
      <w:numFmt w:val="decimal"/>
      <w:lvlText w:val="%7."/>
      <w:lvlJc w:val="left"/>
      <w:pPr>
        <w:ind w:hanging="480" w:left="4320"/>
      </w:pPr>
    </w:lvl>
    <w:lvl w:ilvl="7" w:tentative="1" w:tplc="FFFFFFFF">
      <w:start w:val="1"/>
      <w:numFmt w:val="ideographTraditional"/>
      <w:lvlText w:val="%8、"/>
      <w:lvlJc w:val="left"/>
      <w:pPr>
        <w:ind w:hanging="480" w:left="4800"/>
      </w:pPr>
    </w:lvl>
    <w:lvl w:ilvl="8" w:tentative="1" w:tplc="FFFFFFFF">
      <w:start w:val="1"/>
      <w:numFmt w:val="lowerRoman"/>
      <w:lvlText w:val="%9."/>
      <w:lvlJc w:val="right"/>
      <w:pPr>
        <w:ind w:hanging="480" w:left="5280"/>
      </w:pPr>
    </w:lvl>
  </w:abstractNum>
  <w:abstractNum w15:restartNumberingAfterBreak="0" w:abstractNumId="6">
    <w:nsid w:val="70287E54"/>
    <w:multiLevelType w:val="hybridMultilevel"/>
    <w:tmpl w:val="4F06FCA2"/>
    <w:lvl w:ilvl="0" w:tplc="0409000F">
      <w:start w:val="1"/>
      <w:numFmt w:val="decimal"/>
      <w:lvlText w:val="%1."/>
      <w:lvlJc w:val="left"/>
      <w:pPr>
        <w:ind w:hanging="480" w:left="480"/>
      </w:pPr>
    </w:lvl>
    <w:lvl w:ilvl="1" w:tentative="1" w:tplc="04090019">
      <w:start w:val="1"/>
      <w:numFmt w:val="ideographTraditional"/>
      <w:lvlText w:val="%2、"/>
      <w:lvlJc w:val="left"/>
      <w:pPr>
        <w:ind w:hanging="480" w:left="960"/>
      </w:pPr>
    </w:lvl>
    <w:lvl w:ilvl="2" w:tentative="1" w:tplc="0409001B">
      <w:start w:val="1"/>
      <w:numFmt w:val="lowerRoman"/>
      <w:lvlText w:val="%3."/>
      <w:lvlJc w:val="right"/>
      <w:pPr>
        <w:ind w:hanging="480" w:left="1440"/>
      </w:pPr>
    </w:lvl>
    <w:lvl w:ilvl="3" w:tentative="1" w:tplc="0409000F">
      <w:start w:val="1"/>
      <w:numFmt w:val="decimal"/>
      <w:lvlText w:val="%4."/>
      <w:lvlJc w:val="left"/>
      <w:pPr>
        <w:ind w:hanging="480" w:left="1920"/>
      </w:pPr>
    </w:lvl>
    <w:lvl w:ilvl="4" w:tentative="1" w:tplc="04090019">
      <w:start w:val="1"/>
      <w:numFmt w:val="ideographTraditional"/>
      <w:lvlText w:val="%5、"/>
      <w:lvlJc w:val="left"/>
      <w:pPr>
        <w:ind w:hanging="480" w:left="2400"/>
      </w:pPr>
    </w:lvl>
    <w:lvl w:ilvl="5" w:tentative="1" w:tplc="0409001B">
      <w:start w:val="1"/>
      <w:numFmt w:val="lowerRoman"/>
      <w:lvlText w:val="%6."/>
      <w:lvlJc w:val="right"/>
      <w:pPr>
        <w:ind w:hanging="480" w:left="2880"/>
      </w:pPr>
    </w:lvl>
    <w:lvl w:ilvl="6" w:tentative="1" w:tplc="0409000F">
      <w:start w:val="1"/>
      <w:numFmt w:val="decimal"/>
      <w:lvlText w:val="%7."/>
      <w:lvlJc w:val="left"/>
      <w:pPr>
        <w:ind w:hanging="480" w:left="3360"/>
      </w:pPr>
    </w:lvl>
    <w:lvl w:ilvl="7" w:tentative="1" w:tplc="04090019">
      <w:start w:val="1"/>
      <w:numFmt w:val="ideographTraditional"/>
      <w:lvlText w:val="%8、"/>
      <w:lvlJc w:val="left"/>
      <w:pPr>
        <w:ind w:hanging="480" w:left="3840"/>
      </w:pPr>
    </w:lvl>
    <w:lvl w:ilvl="8" w:tentative="1" w:tplc="0409001B">
      <w:start w:val="1"/>
      <w:numFmt w:val="lowerRoman"/>
      <w:lvlText w:val="%9."/>
      <w:lvlJc w:val="right"/>
      <w:pPr>
        <w:ind w:hanging="480" w:left="4320"/>
      </w:pPr>
    </w:lvl>
  </w:abstractNum>
  <w:num w16cid:durableId="1112940868" w:numId="1">
    <w:abstractNumId w:val="6"/>
  </w:num>
  <w:num w16cid:durableId="358899419" w:numId="2">
    <w:abstractNumId w:val="1"/>
  </w:num>
  <w:num w16cid:durableId="1897232395" w:numId="3">
    <w:abstractNumId w:val="3"/>
  </w:num>
  <w:num w16cid:durableId="822090905" w:numId="4">
    <w:abstractNumId w:val="2"/>
  </w:num>
  <w:num w16cid:durableId="585843369" w:numId="5">
    <w:abstractNumId w:val="0"/>
  </w:num>
  <w:num w16cid:durableId="429161622" w:numId="6">
    <w:abstractNumId w:val="4"/>
  </w:num>
  <w:num w16cid:durableId="45810129" w:numId="7">
    <w:abstractNumId w:val="5"/>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spidmax="2050" v:ext="edi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E35"/>
    <w:rsid w:val="000268C2"/>
    <w:rsid w:val="000861BF"/>
    <w:rsid w:val="00093DD8"/>
    <w:rsid w:val="000F5C9F"/>
    <w:rsid w:val="00145347"/>
    <w:rsid w:val="00152BB3"/>
    <w:rsid w:val="001B756B"/>
    <w:rsid w:val="001C2800"/>
    <w:rsid w:val="001C45D6"/>
    <w:rsid w:val="001C5795"/>
    <w:rsid w:val="001F2C3A"/>
    <w:rsid w:val="001F44CB"/>
    <w:rsid w:val="00217B62"/>
    <w:rsid w:val="00241520"/>
    <w:rsid w:val="00264D17"/>
    <w:rsid w:val="00285922"/>
    <w:rsid w:val="002871F4"/>
    <w:rsid w:val="00294ACA"/>
    <w:rsid w:val="002B32CA"/>
    <w:rsid w:val="002D7389"/>
    <w:rsid w:val="002F409A"/>
    <w:rsid w:val="003003EE"/>
    <w:rsid w:val="003544EE"/>
    <w:rsid w:val="0035641A"/>
    <w:rsid w:val="003859AD"/>
    <w:rsid w:val="003A0C43"/>
    <w:rsid w:val="00416399"/>
    <w:rsid w:val="004222C7"/>
    <w:rsid w:val="00432A2B"/>
    <w:rsid w:val="00447FE5"/>
    <w:rsid w:val="00482852"/>
    <w:rsid w:val="00494CBB"/>
    <w:rsid w:val="004D61D8"/>
    <w:rsid w:val="005015B2"/>
    <w:rsid w:val="005336B6"/>
    <w:rsid w:val="00534945"/>
    <w:rsid w:val="00561F12"/>
    <w:rsid w:val="005A190E"/>
    <w:rsid w:val="005A2486"/>
    <w:rsid w:val="005B18C4"/>
    <w:rsid w:val="005F461B"/>
    <w:rsid w:val="0061021B"/>
    <w:rsid w:val="00626220"/>
    <w:rsid w:val="00627A41"/>
    <w:rsid w:val="00646839"/>
    <w:rsid w:val="006717AB"/>
    <w:rsid w:val="00672A5B"/>
    <w:rsid w:val="00683448"/>
    <w:rsid w:val="006A5DDC"/>
    <w:rsid w:val="006F3697"/>
    <w:rsid w:val="006F3A2B"/>
    <w:rsid w:val="007032EA"/>
    <w:rsid w:val="007533BF"/>
    <w:rsid w:val="00776EE5"/>
    <w:rsid w:val="00786CA4"/>
    <w:rsid w:val="00793F8F"/>
    <w:rsid w:val="007B7C51"/>
    <w:rsid w:val="007D63B4"/>
    <w:rsid w:val="007E36B2"/>
    <w:rsid w:val="007F468D"/>
    <w:rsid w:val="008231EB"/>
    <w:rsid w:val="00840A15"/>
    <w:rsid w:val="00853BE3"/>
    <w:rsid w:val="008603EC"/>
    <w:rsid w:val="008816B2"/>
    <w:rsid w:val="008C0B3A"/>
    <w:rsid w:val="008E2DDC"/>
    <w:rsid w:val="008F07B7"/>
    <w:rsid w:val="00910AC7"/>
    <w:rsid w:val="00923F26"/>
    <w:rsid w:val="00992BA7"/>
    <w:rsid w:val="009B7F93"/>
    <w:rsid w:val="009D520F"/>
    <w:rsid w:val="009D76B3"/>
    <w:rsid w:val="00A02FEF"/>
    <w:rsid w:val="00A316B3"/>
    <w:rsid w:val="00A31F69"/>
    <w:rsid w:val="00A40894"/>
    <w:rsid w:val="00A7316D"/>
    <w:rsid w:val="00AA06CE"/>
    <w:rsid w:val="00B22533"/>
    <w:rsid w:val="00B22C7C"/>
    <w:rsid w:val="00B34C71"/>
    <w:rsid w:val="00B535F8"/>
    <w:rsid w:val="00B57992"/>
    <w:rsid w:val="00B62E3D"/>
    <w:rsid w:val="00B74B39"/>
    <w:rsid w:val="00B90CF4"/>
    <w:rsid w:val="00BA06D1"/>
    <w:rsid w:val="00BA2E94"/>
    <w:rsid w:val="00BA3379"/>
    <w:rsid w:val="00BB6E35"/>
    <w:rsid w:val="00C30208"/>
    <w:rsid w:val="00D00C9C"/>
    <w:rsid w:val="00D22578"/>
    <w:rsid w:val="00D47750"/>
    <w:rsid w:val="00D51BED"/>
    <w:rsid w:val="00D56B8F"/>
    <w:rsid w:val="00D836E6"/>
    <w:rsid w:val="00DC0F9C"/>
    <w:rsid w:val="00DC2737"/>
    <w:rsid w:val="00DF3803"/>
    <w:rsid w:val="00E95FF3"/>
    <w:rsid w:val="00EE113E"/>
    <w:rsid w:val="00EF33B0"/>
    <w:rsid w:val="00F271E9"/>
    <w:rsid w:val="00F33B8A"/>
    <w:rsid w:val="00F404BB"/>
    <w:rsid w:val="00F55799"/>
    <w:rsid w:val="00FA4CD7"/>
    <w:rsid w:val="00FF3224"/>
    <w:rsid w:val="00FF48F1"/>
  </w:rsids>
  <m:mathPr>
    <m:mathFont m:val="Cambria Math"/>
    <m:brkBin m:val="before"/>
    <m:brkBinSub m:val="--"/>
    <m:smallFrac m:val="0"/>
    <m:dispDef/>
    <m:lMargin m:val="0"/>
    <m:rMargin m:val="0"/>
    <m:defJc m:val="centerGroup"/>
    <m:wrapIndent m:val="1440"/>
    <m:intLim m:val="subSup"/>
    <m:naryLim m:val="undOvr"/>
  </m:mathPr>
  <w:themeFontLang w:bidi="ar-SA" w:eastAsia="zh-TW" w:val="en-US"/>
  <w:clrSchemeMapping w:accent1="accent1" w:accent2="accent2" w:accent3="accent3" w:accent4="accent4" w:accent5="accent5" w:accent6="accent6" w:bg1="light1" w:bg2="light2" w:followedHyperlink="followedHyperlink" w:hyperlink="hyperlink" w:t1="dark1" w:t2="dark2"/>
  <w:shapeDefaults>
    <o:shapedefaults spidmax="2050" v:ext="edit"/>
    <o:shapelayout v:ext="edit">
      <o:idmap data="2" v:ext="edit"/>
    </o:shapelayout>
  </w:shapeDefaults>
  <w:decimalSymbol w:val="."/>
  <w:listSeparator w:val=","/>
  <w14:docId w14:val="0425CD12"/>
  <w15:chartTrackingRefBased/>
  <w15:docId w15:val="{CFCAE09A-9EC9-4A86-870A-DF5BB4205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kern w:val="2"/>
        <w:sz w:val="24"/>
        <w:szCs w:val="22"/>
        <w:lang w:bidi="ar-SA" w:eastAsia="zh-TW" w:val="en-US"/>
      </w:rPr>
    </w:rPrDefault>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a" w:type="paragraph">
    <w:name w:val="Normal"/>
    <w:qFormat/>
    <w:rsid w:val="00BB6E35"/>
    <w:pPr>
      <w:widowControl w:val="0"/>
    </w:pPr>
    <w:rPr>
      <w:rFonts w:ascii="Times New Roman" w:cs="Times New Roman" w:eastAsia="新細明體" w:hAnsi="Times New Roman"/>
      <w:sz w:val="18"/>
      <w:szCs w:val="20"/>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character">
    <w:name w:val="annotation reference"/>
    <w:basedOn w:val="a0"/>
    <w:uiPriority w:val="99"/>
    <w:semiHidden/>
    <w:unhideWhenUsed/>
    <w:rsid w:val="005A2486"/>
    <w:rPr>
      <w:sz w:val="18"/>
      <w:szCs w:val="18"/>
    </w:rPr>
  </w:style>
  <w:style w:styleId="a4" w:type="paragraph">
    <w:name w:val="annotation text"/>
    <w:basedOn w:val="a"/>
    <w:link w:val="a5"/>
    <w:uiPriority w:val="99"/>
    <w:unhideWhenUsed/>
    <w:rsid w:val="005A2486"/>
  </w:style>
  <w:style w:customStyle="1" w:styleId="a5" w:type="character">
    <w:name w:val="註解文字 字元"/>
    <w:basedOn w:val="a0"/>
    <w:link w:val="a4"/>
    <w:uiPriority w:val="99"/>
    <w:rsid w:val="005A2486"/>
    <w:rPr>
      <w:rFonts w:ascii="Times New Roman" w:cs="Times New Roman" w:eastAsia="新細明體" w:hAnsi="Times New Roman"/>
      <w:sz w:val="18"/>
      <w:szCs w:val="20"/>
    </w:rPr>
  </w:style>
  <w:style w:styleId="a6" w:type="paragraph">
    <w:name w:val="header"/>
    <w:basedOn w:val="a"/>
    <w:link w:val="a7"/>
    <w:uiPriority w:val="99"/>
    <w:unhideWhenUsed/>
    <w:rsid w:val="007F468D"/>
    <w:pPr>
      <w:tabs>
        <w:tab w:pos="4153" w:val="center"/>
        <w:tab w:pos="8306" w:val="right"/>
      </w:tabs>
      <w:snapToGrid w:val="0"/>
    </w:pPr>
    <w:rPr>
      <w:sz w:val="20"/>
    </w:rPr>
  </w:style>
  <w:style w:customStyle="1" w:styleId="a7" w:type="character">
    <w:name w:val="頁首 字元"/>
    <w:basedOn w:val="a0"/>
    <w:link w:val="a6"/>
    <w:uiPriority w:val="99"/>
    <w:rsid w:val="007F468D"/>
    <w:rPr>
      <w:rFonts w:ascii="Times New Roman" w:cs="Times New Roman" w:eastAsia="新細明體" w:hAnsi="Times New Roman"/>
      <w:sz w:val="20"/>
      <w:szCs w:val="20"/>
    </w:rPr>
  </w:style>
  <w:style w:styleId="a8" w:type="paragraph">
    <w:name w:val="footer"/>
    <w:basedOn w:val="a"/>
    <w:link w:val="a9"/>
    <w:uiPriority w:val="99"/>
    <w:unhideWhenUsed/>
    <w:rsid w:val="007F468D"/>
    <w:pPr>
      <w:tabs>
        <w:tab w:pos="4153" w:val="center"/>
        <w:tab w:pos="8306" w:val="right"/>
      </w:tabs>
      <w:snapToGrid w:val="0"/>
    </w:pPr>
    <w:rPr>
      <w:sz w:val="20"/>
    </w:rPr>
  </w:style>
  <w:style w:customStyle="1" w:styleId="a9" w:type="character">
    <w:name w:val="頁尾 字元"/>
    <w:basedOn w:val="a0"/>
    <w:link w:val="a8"/>
    <w:uiPriority w:val="99"/>
    <w:rsid w:val="007F468D"/>
    <w:rPr>
      <w:rFonts w:ascii="Times New Roman" w:cs="Times New Roman" w:eastAsia="新細明體" w:hAnsi="Times New Roman"/>
      <w:sz w:val="20"/>
      <w:szCs w:val="20"/>
    </w:rPr>
  </w:style>
  <w:style w:styleId="aa" w:type="paragraph">
    <w:name w:val="List Paragraph"/>
    <w:basedOn w:val="a"/>
    <w:uiPriority w:val="34"/>
    <w:qFormat/>
    <w:rsid w:val="00910AC7"/>
    <w:pPr>
      <w:ind w:left="480" w:leftChars="200"/>
    </w:pPr>
  </w:style>
  <w:style w:styleId="ab" w:type="paragraph">
    <w:name w:val="Plain Text"/>
    <w:basedOn w:val="a"/>
    <w:link w:val="ac"/>
    <w:uiPriority w:val="99"/>
    <w:rsid w:val="007032EA"/>
    <w:rPr>
      <w:rFonts w:ascii="細明體" w:eastAsia="細明體" w:hAnsi="Courier New"/>
      <w:sz w:val="24"/>
    </w:rPr>
  </w:style>
  <w:style w:customStyle="1" w:styleId="ac" w:type="character">
    <w:name w:val="純文字 字元"/>
    <w:basedOn w:val="a0"/>
    <w:link w:val="ab"/>
    <w:uiPriority w:val="99"/>
    <w:rsid w:val="007032EA"/>
    <w:rPr>
      <w:rFonts w:ascii="細明體" w:cs="Times New Roman"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93511">
      <w:bodyDiv w:val="1"/>
      <w:marLeft w:val="0"/>
      <w:marRight w:val="0"/>
      <w:marTop w:val="0"/>
      <w:marBottom w:val="0"/>
      <w:divBdr>
        <w:top w:val="none" w:sz="0" w:space="0" w:color="auto"/>
        <w:left w:val="none" w:sz="0" w:space="0" w:color="auto"/>
        <w:bottom w:val="none" w:sz="0" w:space="0" w:color="auto"/>
        <w:right w:val="none" w:sz="0" w:space="0" w:color="auto"/>
      </w:divBdr>
    </w:div>
    <w:div w:id="57712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2025-06-02T07:54:00Z</dcterms:created>
  <dc:creator>user</dc:creator>
  <cp:lastModifiedBy>淑梅 溫</cp:lastModifiedBy>
  <dcterms:modified xsi:type="dcterms:W3CDTF">2025-07-01T02:19:00Z</dcterms:modified>
  <cp:revision>5</cp:revision>
</cp:coreProperties>
</file>